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E4" w:rsidRDefault="0019135B">
      <w:pPr>
        <w:pStyle w:val="name"/>
      </w:pPr>
      <w:r>
        <w:rPr>
          <w:rStyle w:val="Bold"/>
          <w:b/>
        </w:rPr>
        <w:t>Карта заказа ЭКРА 247(А) 03</w:t>
      </w:r>
      <w:r w:rsidRPr="0019135B">
        <w:rPr>
          <w:rStyle w:val="Bold"/>
          <w:b/>
        </w:rPr>
        <w:t>1</w:t>
      </w:r>
      <w:r>
        <w:rPr>
          <w:rStyle w:val="Bold"/>
          <w:b/>
        </w:rPr>
        <w:t>6</w:t>
      </w:r>
    </w:p>
    <w:p w:rsidR="00306DE4" w:rsidRDefault="0019135B"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>(терминал управления c функциями контроллера ячейки, релейной защиты, автоматики и сигнализации ввода на секцию с явным резервом)</w:t>
      </w:r>
    </w:p>
    <w:p w:rsidR="00306DE4" w:rsidRDefault="0019135B"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 w:rsidR="00306DE4" w:rsidTr="0030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06DE4" w:rsidRDefault="0019135B"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306DE4" w:rsidRDefault="0019135B"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 w:rsidR="00306DE4" w:rsidTr="00306DE4">
        <w:trPr>
          <w:trHeight w:val="454"/>
        </w:trPr>
        <w:tc>
          <w:tcPr>
            <w:tcW w:w="5047" w:type="dxa"/>
          </w:tcPr>
          <w:p w:rsidR="00306DE4" w:rsidRDefault="0019135B"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DE4" w:rsidRDefault="0019135B"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306DE4" w:rsidTr="00306DE4">
        <w:trPr>
          <w:trHeight w:val="454"/>
        </w:trPr>
        <w:tc>
          <w:tcPr>
            <w:tcW w:w="5047" w:type="dxa"/>
          </w:tcPr>
          <w:p w:rsidR="00306DE4" w:rsidRDefault="0019135B"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EndPr/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06DE4" w:rsidRDefault="0019135B"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306DE4" w:rsidTr="00306DE4">
        <w:tc>
          <w:tcPr>
            <w:tcW w:w="5047" w:type="dxa"/>
          </w:tcPr>
          <w:p w:rsidR="00306DE4" w:rsidRDefault="00306DE4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306DE4" w:rsidRDefault="0019135B">
            <w:pPr>
              <w:pStyle w:val="usual101"/>
              <w:jc w:val="center"/>
            </w:pPr>
            <w:r>
              <w:rPr>
                <w:sz w:val="14"/>
              </w:rPr>
              <w:t>(кВ)</w:t>
            </w:r>
          </w:p>
        </w:tc>
      </w:tr>
      <w:tr w:rsidR="00306DE4" w:rsidTr="00306DE4">
        <w:tc>
          <w:tcPr>
            <w:tcW w:w="5047" w:type="dxa"/>
          </w:tcPr>
          <w:p w:rsidR="00306DE4" w:rsidRDefault="0019135B"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EndPr/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 w:rsidR="00306DE4" w:rsidRDefault="0019135B"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 w:rsidR="00306DE4" w:rsidTr="00306DE4">
        <w:tc>
          <w:tcPr>
            <w:tcW w:w="5047" w:type="dxa"/>
          </w:tcPr>
          <w:p w:rsidR="00306DE4" w:rsidRDefault="00306DE4"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306DE4" w:rsidRDefault="0019135B"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 w:rsidR="00306DE4" w:rsidRDefault="0019135B"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 w:rsidR="00306DE4" w:rsidTr="0030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 w:rsidR="00306DE4" w:rsidRDefault="0019135B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 w:rsidR="00306DE4" w:rsidRDefault="0019135B"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 w:rsidR="00306DE4" w:rsidTr="00306DE4"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306D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6DE4" w:rsidRDefault="0019135B"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 w:rsidR="00306DE4" w:rsidTr="00306DE4"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19135B"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0316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 w:rsidR="00306DE4" w:rsidTr="00306DE4"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 w:rsidR="00306DE4" w:rsidTr="00306DE4"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DE4" w:rsidRDefault="0019135B"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ЭКРА 247А 0316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06DE4" w:rsidTr="00306DE4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306DE4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306DE4" w:rsidRDefault="0019135B"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4" w:rsidRDefault="0019135B"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 w:rsidR="00306DE4" w:rsidTr="00306DE4"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5.85pt" o:ole="">
                  <v:imagedata r:id="rId9" o:title=""/>
                </v:shape>
                <o:OLEObject Type="Embed" ProgID="Visio.Drawing.11" ShapeID="_x0000_i1025" DrawAspect="Content" ObjectID="_1677907654" r:id="rId10"/>
              </w:object>
            </w:r>
          </w:p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 w:rsidR="00306DE4" w:rsidRDefault="0019135B"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 w:rsidR="00306DE4">
        <w:tc>
          <w:tcPr>
            <w:tcW w:w="6629" w:type="dxa"/>
            <w:gridSpan w:val="3"/>
          </w:tcPr>
          <w:p w:rsidR="00306DE4" w:rsidRDefault="0019135B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Степень защиты по 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 w:rsidR="00306DE4"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 xml:space="preserve">40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по лицевой панели (типовое)</w:t>
            </w:r>
          </w:p>
        </w:tc>
      </w:tr>
      <w:tr w:rsidR="00306DE4"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 w:rsidR="00306DE4"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 w:rsidR="00306DE4" w:rsidRDefault="0019135B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 w:rsidR="00306DE4">
        <w:tc>
          <w:tcPr>
            <w:tcW w:w="5637" w:type="dxa"/>
            <w:gridSpan w:val="2"/>
            <w:vAlign w:val="center"/>
          </w:tcPr>
          <w:p w:rsidR="00306DE4" w:rsidRDefault="0019135B"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 w:rsidR="00306DE4"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 w:rsidR="00306DE4"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 w:rsidR="00306DE4"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 w:rsidR="00306DE4" w:rsidRDefault="0019135B"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 w:rsidR="00306DE4" w:rsidRDefault="0019135B"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 w:rsidR="00306DE4">
        <w:trPr>
          <w:trHeight w:val="294"/>
        </w:trPr>
        <w:tc>
          <w:tcPr>
            <w:tcW w:w="5637" w:type="dxa"/>
            <w:gridSpan w:val="2"/>
            <w:vAlign w:val="center"/>
          </w:tcPr>
          <w:p w:rsidR="00306DE4" w:rsidRDefault="0019135B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26" type="#_x0000_t75" style="width:97.95pt;height:4.2pt" o:ole="">
                  <v:imagedata r:id="rId9" o:title=""/>
                </v:shape>
                <o:OLEObject Type="Embed" ProgID="Visio.Drawing.11" ShapeID="_x0000_i1026" DrawAspect="Content" ObjectID="_1677907655" r:id="rId11"/>
              </w:object>
            </w:r>
          </w:p>
          <w:p w:rsidR="00306DE4" w:rsidRDefault="0019135B"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 w:rsidR="00306DE4">
        <w:tc>
          <w:tcPr>
            <w:tcW w:w="2224" w:type="dxa"/>
            <w:vMerge w:val="restart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 w:rsidR="00306DE4">
        <w:tc>
          <w:tcPr>
            <w:tcW w:w="2224" w:type="dxa"/>
            <w:vMerge/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 w:rsidR="00306DE4">
        <w:tc>
          <w:tcPr>
            <w:tcW w:w="2224" w:type="dxa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 (типовой)</w:t>
            </w:r>
          </w:p>
        </w:tc>
      </w:tr>
      <w:tr w:rsidR="00306DE4">
        <w:tc>
          <w:tcPr>
            <w:tcW w:w="2224" w:type="dxa"/>
            <w:vMerge w:val="restart"/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 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 w:rsidR="00306DE4" w:rsidRDefault="0019135B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06DE4">
        <w:tc>
          <w:tcPr>
            <w:tcW w:w="2224" w:type="dxa"/>
            <w:vMerge/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306DE4" w:rsidRDefault="0019135B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06DE4">
        <w:tc>
          <w:tcPr>
            <w:tcW w:w="2224" w:type="dxa"/>
            <w:vMerge/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306DE4" w:rsidRDefault="0019135B"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06DE4">
        <w:tc>
          <w:tcPr>
            <w:tcW w:w="2224" w:type="dxa"/>
            <w:vMerge/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306DE4"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LinkBackUp</w:t>
            </w:r>
          </w:p>
        </w:tc>
      </w:tr>
      <w:tr w:rsidR="00306DE4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27" type="#_x0000_t75" style="width:97.95pt;height:3.35pt" o:ole="">
                  <v:imagedata r:id="rId9" o:title=""/>
                </v:shape>
                <o:OLEObject Type="Embed" ProgID="Visio.Drawing.11" ShapeID="_x0000_i1027" DrawAspect="Content" ObjectID="_1677907656" r:id="rId12"/>
              </w:object>
            </w:r>
          </w:p>
          <w:p w:rsidR="00306DE4" w:rsidRDefault="0019135B"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sz w:val="20"/>
        </w:rPr>
        <w:lastRenderedPageBreak/>
        <w:t>Характеристики 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 w:rsidR="00306DE4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 w:rsidR="00306DE4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 w:rsidR="00306DE4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 w:rsidR="00306DE4">
        <w:trPr>
          <w:trHeight w:val="52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</w:tc>
      </w:tr>
      <w:tr w:rsidR="00306DE4">
        <w:trPr>
          <w:trHeight w:val="32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 w:rsidR="00306DE4" w:rsidRDefault="0019135B"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5B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Дистанционная защита с круговой характеристикой</w:t>
            </w:r>
          </w:p>
          <w:p w:rsidR="0019135B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Дистанционная защита с прямоугольной характеристикой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Комбинированный пуск по напряжению (вольтметровая блокировка).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ТН.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Контроль исправности вторичных цепей ТТ.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однофазных замыканий на землю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двойных замыканий на землю.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феррорезонанса.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минимального напряжения.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повышения напряжения.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потери питания.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 резервирования отказа выключателя с контролем тока.</w:t>
            </w:r>
          </w:p>
          <w:p w:rsidR="00306DE4" w:rsidRDefault="0019135B">
            <w:pPr>
              <w:spacing w:line="240" w:lineRule="auto"/>
              <w:ind w:right="-108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шин.</w:t>
            </w:r>
          </w:p>
        </w:tc>
      </w:tr>
      <w:tr w:rsidR="00306DE4">
        <w:trPr>
          <w:trHeight w:val="50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Автоматический ввод резерва.</w:t>
            </w:r>
          </w:p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Автоматическое повторное включение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Восстановление нормального режима.</w:t>
            </w:r>
          </w:p>
        </w:tc>
      </w:tr>
      <w:tr w:rsidR="00306DE4"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Автоматика управления выключателем.</w:t>
            </w:r>
          </w:p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 w:rsidR="00306DE4"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</w:tc>
      </w:tr>
      <w:tr w:rsidR="00306DE4"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Функция измерения и обработки электрических и технологических параметров присоединения (функция СИ)**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6DE4" w:rsidRDefault="0019135B"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 w:rsidR="00306DE4"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DE4" w:rsidRDefault="00306DE4"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306DE4"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6DE4" w:rsidRDefault="0019135B"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306DE4">
        <w:trPr>
          <w:trHeight w:val="297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E4" w:rsidRDefault="0019135B">
            <w:pPr>
              <w:spacing w:before="60" w:line="240" w:lineRule="auto"/>
              <w:ind w:firstLine="0"/>
              <w:rPr>
                <w:rFonts w:cs="Arial"/>
                <w:sz w:val="8"/>
                <w:szCs w:val="8"/>
              </w:rPr>
            </w:pPr>
            <w:r>
              <w:object w:dxaOrig="2036" w:dyaOrig="170">
                <v:shape id="_x0000_i1028" type="#_x0000_t75" style="width:97.95pt;height:3.35pt" o:ole="">
                  <v:imagedata r:id="rId9" o:title=""/>
                </v:shape>
                <o:OLEObject Type="Embed" ProgID="Visio.Drawing.11" ShapeID="_x0000_i1028" DrawAspect="Content" ObjectID="_1677907657" r:id="rId13"/>
              </w:object>
            </w:r>
          </w:p>
          <w:p w:rsidR="00306DE4" w:rsidRDefault="0019135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В.</w:t>
            </w:r>
          </w:p>
          <w:p w:rsidR="00306DE4" w:rsidRDefault="0019135B"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При наличии данной функции необходимо указать уточняющую информацию в приложении А.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8"/>
          <w:szCs w:val="8"/>
        </w:rPr>
      </w:pPr>
    </w:p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 w:rsidR="00306DE4">
        <w:trPr>
          <w:trHeight w:val="284"/>
        </w:trPr>
        <w:tc>
          <w:tcPr>
            <w:tcW w:w="4219" w:type="pct"/>
            <w:gridSpan w:val="3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306DE4" w:rsidRDefault="0019135B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 w:rsidR="00306DE4"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м), м</w:t>
            </w:r>
          </w:p>
        </w:tc>
        <w:tc>
          <w:tcPr>
            <w:tcW w:w="781" w:type="pc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6DE4">
        <w:trPr>
          <w:trHeight w:val="284"/>
        </w:trPr>
        <w:tc>
          <w:tcPr>
            <w:tcW w:w="223" w:type="pct"/>
            <w:vMerge w:val="restar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Ethernet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м), м</w:t>
            </w:r>
          </w:p>
        </w:tc>
        <w:tc>
          <w:tcPr>
            <w:tcW w:w="781" w:type="pc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6DE4">
        <w:trPr>
          <w:trHeight w:val="76"/>
        </w:trPr>
        <w:tc>
          <w:tcPr>
            <w:tcW w:w="223" w:type="pct"/>
            <w:vMerge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306DE4">
        <w:trPr>
          <w:trHeight w:val="284"/>
        </w:trPr>
        <w:tc>
          <w:tcPr>
            <w:tcW w:w="223" w:type="pct"/>
            <w:vMerge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306DE4"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информации, шт</w:t>
            </w:r>
          </w:p>
        </w:tc>
        <w:tc>
          <w:tcPr>
            <w:tcW w:w="781" w:type="pc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6DE4"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 для встраивания в компьютер, шт</w:t>
            </w:r>
          </w:p>
        </w:tc>
        <w:tc>
          <w:tcPr>
            <w:tcW w:w="781" w:type="pc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6DE4"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23" w:type="pct"/>
                <w:vAlign w:val="center"/>
              </w:tcPr>
              <w:p w:rsidR="00306DE4" w:rsidRDefault="0019135B"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 w:rsidR="00306DE4" w:rsidRDefault="0019135B"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), шт</w:t>
            </w:r>
          </w:p>
        </w:tc>
        <w:tc>
          <w:tcPr>
            <w:tcW w:w="781" w:type="pct"/>
            <w:vAlign w:val="center"/>
          </w:tcPr>
          <w:p w:rsidR="00306DE4" w:rsidRDefault="00306DE4"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6DE4">
        <w:trPr>
          <w:trHeight w:val="741"/>
        </w:trPr>
        <w:tc>
          <w:tcPr>
            <w:tcW w:w="5000" w:type="pct"/>
            <w:gridSpan w:val="4"/>
            <w:vAlign w:val="center"/>
          </w:tcPr>
          <w:p w:rsidR="00306DE4" w:rsidRDefault="0019135B"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29" type="#_x0000_t75" style="width:97.95pt;height:3.35pt" o:ole="">
                  <v:imagedata r:id="rId9" o:title=""/>
                </v:shape>
                <o:OLEObject Type="Embed" ProgID="Visio.Drawing.11" ShapeID="_x0000_i1029" DrawAspect="Content" ObjectID="_1677907658" r:id="rId14"/>
              </w:object>
            </w:r>
          </w:p>
          <w:p w:rsidR="00306DE4" w:rsidRDefault="0019135B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Для прокладки вне помещения, в условиях сильных электромагнитных полей и при большой длине кабеля.</w:t>
            </w:r>
          </w:p>
          <w:p w:rsidR="00306DE4" w:rsidRDefault="0019135B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306DE4" w:rsidRDefault="0019135B"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*** Для прокладки внутри помещения в условиях обычных электромагнитных полей и небольшой длине кабеля.</w:t>
            </w:r>
          </w:p>
          <w:p w:rsidR="00306DE4" w:rsidRDefault="0019135B"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>**** 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 w:rsidR="00306DE4">
        <w:trPr>
          <w:trHeight w:val="556"/>
        </w:trPr>
        <w:tc>
          <w:tcPr>
            <w:tcW w:w="1285" w:type="dxa"/>
            <w:vAlign w:val="center"/>
          </w:tcPr>
          <w:p w:rsidR="00306DE4" w:rsidRDefault="001913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 w:rsidR="00306DE4" w:rsidRDefault="0019135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0"/>
          <w:szCs w:val="20"/>
        </w:rPr>
      </w:pPr>
    </w:p>
    <w:p w:rsidR="00306DE4" w:rsidRDefault="0019135B">
      <w:pPr>
        <w:pStyle w:val="usual"/>
      </w:pPr>
      <w:r>
        <w:br w:type="page"/>
      </w:r>
    </w:p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lastRenderedPageBreak/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 w:rsidR="00306DE4" w:rsidTr="0030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right w:val="nil"/>
                </w:tcBorders>
              </w:tcPr>
              <w:p w:rsidR="00306DE4" w:rsidRDefault="0019135B"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 w:rsidR="00306DE4" w:rsidTr="00306DE4"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306DE4" w:rsidRDefault="0019135B"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 w:rsidR="00306DE4" w:rsidTr="00306DE4"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306DE4" w:rsidRDefault="0019135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 w:rsidR="00306DE4" w:rsidTr="00306DE4">
        <w:trPr>
          <w:trHeight w:val="130"/>
        </w:trPr>
        <w:sdt>
          <w:sdtPr>
            <w:rPr>
              <w:sz w:val="14"/>
              <w:szCs w:val="14"/>
            </w:rPr>
            <w:id w:val="21358295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306DE4" w:rsidRDefault="0019135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 w:rsidR="00306DE4" w:rsidTr="00306DE4">
        <w:trPr>
          <w:trHeight w:val="130"/>
        </w:trPr>
        <w:sdt>
          <w:sdtPr>
            <w:rPr>
              <w:sz w:val="14"/>
              <w:szCs w:val="14"/>
            </w:rPr>
            <w:id w:val="7641176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306DE4" w:rsidRDefault="0019135B"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 w:rsidR="00306DE4" w:rsidRDefault="0019135B"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 w:rsidR="00306DE4" w:rsidRDefault="00306DE4">
      <w:pPr>
        <w:pStyle w:val="usual"/>
      </w:pPr>
    </w:p>
    <w:p w:rsidR="00306DE4" w:rsidRDefault="0019135B"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 w:rsidR="00306DE4" w:rsidTr="00306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06DE4" w:rsidRDefault="00306DE4"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 w:rsidR="00306DE4" w:rsidTr="00306DE4"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306DE4" w:rsidRDefault="00306DE4"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06DE4" w:rsidTr="00306DE4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306DE4" w:rsidRDefault="00306DE4"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306DE4" w:rsidTr="00306D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306DE4" w:rsidRDefault="0019135B"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306DE4" w:rsidRDefault="0019135B"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 w:rsidR="00306DE4" w:rsidRDefault="00306DE4">
            <w:pPr>
              <w:pStyle w:val="af5"/>
              <w:rPr>
                <w:b/>
                <w:sz w:val="20"/>
                <w:szCs w:val="20"/>
              </w:rPr>
            </w:pPr>
          </w:p>
        </w:tc>
      </w:tr>
      <w:tr w:rsidR="00306DE4" w:rsidTr="00306D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2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306DE4" w:rsidRDefault="0019135B"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</w:tr>
      <w:tr w:rsidR="00306DE4" w:rsidTr="00306D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06DE4" w:rsidRDefault="00306DE4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 w:rsidR="00306DE4" w:rsidRDefault="0019135B"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06DE4" w:rsidRDefault="00306DE4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 w:rsidR="00306DE4" w:rsidRDefault="0019135B"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06DE4" w:rsidRDefault="00306DE4"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 w:rsidR="00306DE4" w:rsidRDefault="0019135B"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19135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p w:rsidR="00306DE4" w:rsidRDefault="0019135B"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А</w:t>
      </w:r>
    </w:p>
    <w:p w:rsidR="00306DE4" w:rsidRDefault="0019135B"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 w:rsidR="00306DE4" w:rsidRDefault="0019135B"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 w:rsidR="00306DE4" w:rsidRDefault="0019135B"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А.1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 w:rsidR="00306DE4"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 w:rsidR="00306DE4" w:rsidRDefault="0019135B"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 w:rsidR="00306DE4" w:rsidRDefault="0019135B"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vAlign w:val="center"/>
          </w:tcPr>
          <w:p w:rsidR="00306DE4" w:rsidRDefault="00306DE4"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 w:rsidR="00306DE4"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306DE4" w:rsidRDefault="0019135B"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 w:rsidR="00306DE4" w:rsidRDefault="00306DE4"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 w:rsidR="00306DE4" w:rsidRDefault="00306DE4"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 w:rsidR="00306DE4" w:rsidRDefault="0019135B"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 w:rsidR="00306DE4" w:rsidRDefault="0019135B"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 w:rsidR="00306DE4" w:rsidRDefault="0019135B"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 w:rsidR="00306DE4" w:rsidRDefault="00306DE4"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 w:rsidR="00306DE4" w:rsidRDefault="00306DE4">
      <w:pPr>
        <w:pStyle w:val="usual"/>
        <w:tabs>
          <w:tab w:val="left" w:pos="284"/>
        </w:tabs>
        <w:spacing w:before="120" w:line="240" w:lineRule="auto"/>
        <w:ind w:firstLine="0"/>
        <w:rPr>
          <w:sz w:val="2"/>
          <w:szCs w:val="2"/>
        </w:rPr>
      </w:pPr>
    </w:p>
    <w:sectPr w:rsidR="00306DE4">
      <w:footerReference w:type="even" r:id="rId15"/>
      <w:headerReference w:type="first" r:id="rId16"/>
      <w:footerReference w:type="first" r:id="rId17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E4" w:rsidRDefault="0019135B">
      <w:pPr>
        <w:spacing w:line="240" w:lineRule="auto"/>
      </w:pPr>
      <w:r>
        <w:separator/>
      </w:r>
    </w:p>
  </w:endnote>
  <w:endnote w:type="continuationSeparator" w:id="0">
    <w:p w:rsidR="00306DE4" w:rsidRDefault="0019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E4" w:rsidRDefault="00306DE4"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E4" w:rsidRDefault="0019135B"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E4" w:rsidRDefault="0019135B">
      <w:pPr>
        <w:spacing w:line="240" w:lineRule="auto"/>
      </w:pPr>
      <w:r>
        <w:separator/>
      </w:r>
    </w:p>
  </w:footnote>
  <w:footnote w:type="continuationSeparator" w:id="0">
    <w:p w:rsidR="00306DE4" w:rsidRDefault="00191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E4" w:rsidRDefault="0019135B">
    <w:pPr>
      <w:pStyle w:val="ab"/>
    </w:pPr>
    <w:r>
      <w:t>Редакция от 21.04.2015</w:t>
    </w:r>
  </w:p>
  <w:p w:rsidR="00306DE4" w:rsidRDefault="00306D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CEEA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E4"/>
    <w:rsid w:val="0019135B"/>
    <w:rsid w:val="00306DE4"/>
    <w:rsid w:val="00A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HTML Acronym" w:uiPriority="99"/>
    <w:lsdException w:name="HTML Address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34" w:unhideWhenUsed="0" w:qFormat="1"/>
    <w:lsdException w:name="Intense Quote" w:semiHidden="0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2" w:unhideWhenUsed="0" w:qFormat="1"/>
    <w:lsdException w:name="Intense Emphasis" w:semiHidden="0" w:uiPriority="3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num" w:pos="360"/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68E6-0518-4597-83E3-DBCB4206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161</TotalTime>
  <Pages>5</Pages>
  <Words>739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Петров Иван Михайлович</cp:lastModifiedBy>
  <cp:revision>47</cp:revision>
  <cp:lastPrinted>2016-11-09T09:01:00Z</cp:lastPrinted>
  <dcterms:created xsi:type="dcterms:W3CDTF">2016-10-04T10:54:00Z</dcterms:created>
  <dcterms:modified xsi:type="dcterms:W3CDTF">2021-03-22T05:41:00Z</dcterms:modified>
</cp:coreProperties>
</file>